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2540" w:val="clear"/>
            <w:tcMar>
              <w:top w:type="dxa" w:w="600"/>
              <w:left w:type="dxa" w:w="480"/>
              <w:bottom w:type="dxa" w:w="600"/>
              <w:right w:type="dxa" w:w="480"/>
            </w:tcMar>
          </w:tcPr>
          <w:p>
            <w:r>
              <w:rPr>
                <w:rFonts w:ascii="Arial" w:cs="Arial" w:eastAsia="Arial" w:hAnsi="Arial"/>
                <w:b/>
                <w:bCs/>
                <w:caps/>
                <w:color w:val="00C9A7"/>
                <w:sz w:val="22"/>
                <w:szCs w:val="22"/>
              </w:rPr>
              <w:t xml:space="preserve">WISSENSCHAFTLICHE WIRKSTOFFDOKUMENTATION</w:t>
            </w:r>
          </w:p>
          <w:p>
            <w:pPr>
              <w:spacing w:before="80" w:after="160"/>
            </w:pPr>
            <w:r>
              <w:rPr>
                <w:rFonts w:ascii="Arial" w:cs="Arial" w:eastAsia="Arial" w:hAnsi="Arial"/>
                <w:b/>
                <w:bCs/>
                <w:color w:val="FFFFFF"/>
                <w:sz w:val="52"/>
                <w:szCs w:val="52"/>
              </w:rPr>
              <w:t xml:space="preserve">LongeviTeeth Tooth Gel</w:t>
            </w:r>
          </w:p>
          <w:p>
            <w:r>
              <w:rPr>
                <w:rFonts w:ascii="Arial" w:cs="Arial" w:eastAsia="Arial" w:hAnsi="Arial"/>
                <w:color w:val="D1D5DB"/>
                <w:sz w:val="22"/>
                <w:szCs w:val="22"/>
              </w:rPr>
              <w:t xml:space="preserve">O:AGEN Oral Longevity Formula — Evidenzmatrix, Claim-Analyse &amp; Formulierungsrisiken</w:t>
            </w:r>
          </w:p>
          <w:p>
            <w:pPr>
              <w:spacing w:after="200"/>
            </w:pPr>
          </w:p>
          <w:tbl>
            <w:tblPr>
              <w:tblW w:type="dxa" w:w="8678"/>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078"/>
            </w:tblGrid>
            <w:tr>
              <w:tc>
                <w:tcPr>
                  <w:tcW w:type="dxa" w:w="2800"/>
                  <w:tcBorders>
                    <w:top w:val="none" w:color="FFFFFF" w:sz="0"/>
                    <w:left w:val="none" w:color="FFFFFF" w:sz="0"/>
                    <w:bottom w:val="none" w:color="FFFFFF" w:sz="0"/>
                    <w:right w:val="none" w:color="FFFFFF" w:sz="0"/>
                  </w:tcBorders>
                  <w:shd w:fill="132F50" w:val="clear"/>
                  <w:tcMar>
                    <w:top w:type="dxa" w:w="120"/>
                    <w:left w:type="dxa" w:w="200"/>
                    <w:bottom w:type="dxa" w:w="120"/>
                    <w:right w:type="dxa" w:w="200"/>
                  </w:tcMar>
                </w:tcPr>
                <w:p>
                  <w:r>
                    <w:rPr>
                      <w:rFonts w:ascii="Arial" w:cs="Arial" w:eastAsia="Arial" w:hAnsi="Arial"/>
                      <w:b/>
                      <w:bCs/>
                      <w:color w:val="00C9A7"/>
                      <w:sz w:val="18"/>
                      <w:szCs w:val="18"/>
                    </w:rPr>
                    <w:t xml:space="preserve">AUTOR</w:t>
                  </w:r>
                </w:p>
                <w:p>
                  <w:r>
                    <w:rPr>
                      <w:rFonts w:ascii="Arial" w:cs="Arial" w:eastAsia="Arial" w:hAnsi="Arial"/>
                      <w:color w:val="FFFFFF"/>
                      <w:sz w:val="20"/>
                      <w:szCs w:val="20"/>
                    </w:rPr>
                    <w:t xml:space="preserve">PD Dr. med. Dr. med. dent.</w:t>
                  </w:r>
                </w:p>
                <w:p>
                  <w:r>
                    <w:rPr>
                      <w:rFonts w:ascii="Arial" w:cs="Arial" w:eastAsia="Arial" w:hAnsi="Arial"/>
                      <w:b/>
                      <w:bCs/>
                      <w:color w:val="FFFFFF"/>
                      <w:sz w:val="20"/>
                      <w:szCs w:val="20"/>
                    </w:rPr>
                    <w:t xml:space="preserve">Lutz Ritter</w:t>
                  </w:r>
                </w:p>
              </w:tc>
              <w:tc>
                <w:tcPr>
                  <w:tcW w:type="dxa" w:w="2800"/>
                  <w:tcBorders>
                    <w:top w:val="none" w:color="FFFFFF" w:sz="0"/>
                    <w:left w:val="none" w:color="FFFFFF" w:sz="0"/>
                    <w:bottom w:val="none" w:color="FFFFFF" w:sz="0"/>
                    <w:right w:val="none" w:color="FFFFFF" w:sz="0"/>
                  </w:tcBorders>
                  <w:shd w:fill="132F50" w:val="clear"/>
                  <w:tcMar>
                    <w:top w:type="dxa" w:w="120"/>
                    <w:left w:type="dxa" w:w="200"/>
                    <w:bottom w:type="dxa" w:w="120"/>
                    <w:right w:type="dxa" w:w="200"/>
                  </w:tcMar>
                </w:tcPr>
                <w:p>
                  <w:r>
                    <w:rPr>
                      <w:rFonts w:ascii="Arial" w:cs="Arial" w:eastAsia="Arial" w:hAnsi="Arial"/>
                      <w:b/>
                      <w:bCs/>
                      <w:color w:val="00C9A7"/>
                      <w:sz w:val="18"/>
                      <w:szCs w:val="18"/>
                    </w:rPr>
                    <w:t xml:space="preserve">HERSTELLER</w:t>
                  </w:r>
                </w:p>
                <w:p>
                  <w:r>
                    <w:rPr>
                      <w:rFonts w:ascii="Arial" w:cs="Arial" w:eastAsia="Arial" w:hAnsi="Arial"/>
                      <w:color w:val="FFFFFF"/>
                      <w:sz w:val="20"/>
                      <w:szCs w:val="20"/>
                    </w:rPr>
                    <w:t xml:space="preserve">Laboratoire ODOST</w:t>
                  </w:r>
                </w:p>
                <w:p>
                  <w:r>
                    <w:rPr>
                      <w:rFonts w:ascii="Arial" w:cs="Arial" w:eastAsia="Arial" w:hAnsi="Arial"/>
                      <w:color w:val="94A3B8"/>
                      <w:sz w:val="18"/>
                      <w:szCs w:val="18"/>
                    </w:rPr>
                    <w:t xml:space="preserve">(Buccotherm)</w:t>
                  </w:r>
                </w:p>
              </w:tc>
              <w:tc>
                <w:tcPr>
                  <w:tcW w:type="dxa" w:w="3078"/>
                  <w:tcBorders>
                    <w:top w:val="none" w:color="FFFFFF" w:sz="0"/>
                    <w:left w:val="none" w:color="FFFFFF" w:sz="0"/>
                    <w:bottom w:val="none" w:color="FFFFFF" w:sz="0"/>
                    <w:right w:val="none" w:color="FFFFFF" w:sz="0"/>
                  </w:tcBorders>
                  <w:shd w:fill="132F50" w:val="clear"/>
                  <w:tcMar>
                    <w:top w:type="dxa" w:w="120"/>
                    <w:left w:type="dxa" w:w="200"/>
                    <w:bottom w:type="dxa" w:w="120"/>
                    <w:right w:type="dxa" w:w="200"/>
                  </w:tcMar>
                </w:tcPr>
                <w:p>
                  <w:r>
                    <w:rPr>
                      <w:rFonts w:ascii="Arial" w:cs="Arial" w:eastAsia="Arial" w:hAnsi="Arial"/>
                      <w:b/>
                      <w:bCs/>
                      <w:color w:val="00C9A7"/>
                      <w:sz w:val="18"/>
                      <w:szCs w:val="18"/>
                    </w:rPr>
                    <w:t xml:space="preserve">PROJEKT</w:t>
                  </w:r>
                </w:p>
                <w:p>
                  <w:r>
                    <w:rPr>
                      <w:rFonts w:ascii="Arial" w:cs="Arial" w:eastAsia="Arial" w:hAnsi="Arial"/>
                      <w:color w:val="FFFFFF"/>
                      <w:sz w:val="20"/>
                      <w:szCs w:val="20"/>
                    </w:rPr>
                    <w:t xml:space="preserve">Nr. 141-2025  ·  Nov. 2025</w:t>
                  </w:r>
                </w:p>
                <w:p>
                  <w:r>
                    <w:rPr>
                      <w:rFonts w:ascii="Arial" w:cs="Arial" w:eastAsia="Arial" w:hAnsi="Arial"/>
                      <w:color w:val="94A3B8"/>
                      <w:sz w:val="18"/>
                      <w:szCs w:val="18"/>
                    </w:rPr>
                    <w:t xml:space="preserve">Pilot: Deutschland (DACH/EU)</w:t>
                  </w:r>
                </w:p>
              </w:tc>
            </w:tr>
          </w:tbl>
          <w:p/>
        </w:tc>
      </w:tr>
    </w:tbl>
    <w:p>
      <w:pPr>
        <w:spacing w:after="400"/>
      </w:pPr>
    </w:p>
    <w:p>
      <w:pPr>
        <w:pStyle w:val="Heading1"/>
      </w:pPr>
      <w:r>
        <w:rPr>
          <w:rFonts w:ascii="Arial" w:cs="Arial" w:eastAsia="Arial" w:hAnsi="Arial"/>
        </w:rPr>
        <w:t xml:space="preserve">Executive Summary</w:t>
      </w:r>
    </w:p>
    <w:p>
      <w:pPr>
        <w:pBdr>
          <w:bottom w:val="single" w:color="00C9A7" w:sz="8" w:space="1"/>
        </w:pBdr>
        <w:spacing w:before="0" w:after="200"/>
      </w:pPr>
    </w:p>
    <w:p>
      <w:pPr>
        <w:spacing w:after="200"/>
      </w:pPr>
      <w:r>
        <w:rPr>
          <w:rFonts w:ascii="Arial" w:cs="Arial" w:eastAsia="Arial" w:hAnsi="Arial"/>
          <w:color w:val="1E293B"/>
          <w:sz w:val="22"/>
          <w:szCs w:val="22"/>
        </w:rPr>
        <w:t xml:space="preserve">Das LongeviTeeth Tooth Gel (Projektbezeichnung O:AGEN) wird für die International Institute for Oral Longevity i2ol GmbH von Laboratoire ODOST (Buccotherm) als SLS-freies, pH-balanciertes Gel (pH 6,6–6,9) entwickelt. Die Formulierung kombiniert sieben wissenschaftlich belegte Wirkstoffe, die synergistisch auf Biofilm-Kontrolle, gingivale Entzündungsreduktion, antioxidativen Schutz und Mikrobiom-Modulation abzielen. Alle Wirkstoffe wurden anhand von peer-reviewed Publikationen auf ihre Relevanz für Parodontitis, Periimplantitis und orale Longevity evaluiert. Zielgruppe: Erwachsene 35–70 Jahre mit Fokus auf Prävention und gesundes Altern. Vertrieb: Apotheken, oralchirurgische Praxen und Online-Premiumpositioning.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W w:type="dxa" w:w="3200"/>
            <w:tcBorders>
              <w:top w:val="none" w:color="FFFFFF" w:sz="0"/>
              <w:left w:val="none" w:color="FFFFFF" w:sz="0"/>
              <w:bottom w:val="none" w:color="FFFFFF" w:sz="0"/>
              <w:right w:val="none" w:color="FFFFFF" w:sz="0"/>
            </w:tcBorders>
            <w:shd w:fill="0A2540" w:val="clear"/>
            <w:tcMar>
              <w:top w:type="dxa" w:w="100"/>
              <w:left w:type="dxa" w:w="200"/>
              <w:bottom w:type="dxa" w:w="100"/>
              <w:right w:type="dxa" w:w="200"/>
            </w:tcMar>
          </w:tcPr>
          <w:p>
            <w:r>
              <w:rPr>
                <w:rFonts w:ascii="Arial" w:cs="Arial" w:eastAsia="Arial" w:hAnsi="Arial"/>
                <w:b/>
                <w:bCs/>
                <w:color w:val="FFFFFF"/>
                <w:sz w:val="20"/>
                <w:szCs w:val="20"/>
              </w:rPr>
              <w:t xml:space="preserve">Produktname</w:t>
            </w:r>
          </w:p>
        </w:tc>
        <w:tc>
          <w:tcPr>
            <w:tcW w:type="dxa" w:w="6438"/>
            <w:tcBorders>
              <w:top w:val="none" w:color="FFFFFF" w:sz="0"/>
              <w:left w:val="none" w:color="FFFFFF" w:sz="0"/>
              <w:bottom w:val="none" w:color="FFFFFF" w:sz="0"/>
              <w:right w:val="none" w:color="FFFFFF" w:sz="0"/>
            </w:tcBorders>
            <w:shd w:fill="F0FDF9" w:val="clear"/>
            <w:tcMar>
              <w:top w:type="dxa" w:w="100"/>
              <w:left w:type="dxa" w:w="200"/>
              <w:bottom w:type="dxa" w:w="100"/>
              <w:right w:type="dxa" w:w="200"/>
            </w:tcMar>
          </w:tcPr>
          <w:p>
            <w:r>
              <w:rPr>
                <w:rFonts w:ascii="Arial" w:cs="Arial" w:eastAsia="Arial" w:hAnsi="Arial"/>
                <w:color w:val="1E293B"/>
                <w:sz w:val="20"/>
                <w:szCs w:val="20"/>
              </w:rPr>
              <w:t xml:space="preserve">LongeviTeeth Tooth Gel (O:AGEN)</w:t>
            </w:r>
          </w:p>
        </w:tc>
      </w:tr>
      <w:tr>
        <w:tc>
          <w:tcPr>
            <w:tcW w:type="dxa" w:w="3200"/>
            <w:tcBorders>
              <w:top w:val="none" w:color="FFFFFF" w:sz="0"/>
              <w:left w:val="none" w:color="FFFFFF" w:sz="0"/>
              <w:bottom w:val="none" w:color="FFFFFF" w:sz="0"/>
              <w:right w:val="none" w:color="FFFFFF" w:sz="0"/>
            </w:tcBorders>
            <w:shd w:fill="132F50" w:val="clear"/>
            <w:tcMar>
              <w:top w:type="dxa" w:w="100"/>
              <w:left w:type="dxa" w:w="200"/>
              <w:bottom w:type="dxa" w:w="100"/>
              <w:right w:type="dxa" w:w="200"/>
            </w:tcMar>
          </w:tcPr>
          <w:p>
            <w:r>
              <w:rPr>
                <w:rFonts w:ascii="Arial" w:cs="Arial" w:eastAsia="Arial" w:hAnsi="Arial"/>
                <w:b/>
                <w:bCs/>
                <w:color w:val="FFFFFF"/>
                <w:sz w:val="20"/>
                <w:szCs w:val="20"/>
              </w:rPr>
              <w:t xml:space="preserve">Darreichungsform</w:t>
            </w:r>
          </w:p>
        </w:tc>
        <w:tc>
          <w:tcPr>
            <w:tcW w:type="dxa" w:w="6438"/>
            <w:tcBorders>
              <w:top w:val="none" w:color="FFFFFF" w:sz="0"/>
              <w:left w:val="none" w:color="FFFFFF" w:sz="0"/>
              <w:bottom w:val="none" w:color="FFFFFF" w:sz="0"/>
              <w:right w:val="none" w:color="FFFFFF" w:sz="0"/>
            </w:tcBorders>
            <w:shd w:fill="FFFFFF" w:val="clear"/>
            <w:tcMar>
              <w:top w:type="dxa" w:w="100"/>
              <w:left w:type="dxa" w:w="200"/>
              <w:bottom w:type="dxa" w:w="100"/>
              <w:right w:type="dxa" w:w="200"/>
            </w:tcMar>
          </w:tcPr>
          <w:p>
            <w:r>
              <w:rPr>
                <w:rFonts w:ascii="Arial" w:cs="Arial" w:eastAsia="Arial" w:hAnsi="Arial"/>
                <w:color w:val="1E293B"/>
                <w:sz w:val="20"/>
                <w:szCs w:val="20"/>
              </w:rPr>
              <w:t xml:space="preserve">SLS-freies Gel, pH 6,6–6,9 (Citratpuffer), 75 ml Barriere-Tube</w:t>
            </w:r>
          </w:p>
        </w:tc>
      </w:tr>
      <w:tr>
        <w:tc>
          <w:tcPr>
            <w:tcW w:type="dxa" w:w="3200"/>
            <w:tcBorders>
              <w:top w:val="none" w:color="FFFFFF" w:sz="0"/>
              <w:left w:val="none" w:color="FFFFFF" w:sz="0"/>
              <w:bottom w:val="none" w:color="FFFFFF" w:sz="0"/>
              <w:right w:val="none" w:color="FFFFFF" w:sz="0"/>
            </w:tcBorders>
            <w:shd w:fill="0A2540" w:val="clear"/>
            <w:tcMar>
              <w:top w:type="dxa" w:w="100"/>
              <w:left w:type="dxa" w:w="200"/>
              <w:bottom w:type="dxa" w:w="100"/>
              <w:right w:type="dxa" w:w="200"/>
            </w:tcMar>
          </w:tcPr>
          <w:p>
            <w:r>
              <w:rPr>
                <w:rFonts w:ascii="Arial" w:cs="Arial" w:eastAsia="Arial" w:hAnsi="Arial"/>
                <w:b/>
                <w:bCs/>
                <w:color w:val="FFFFFF"/>
                <w:sz w:val="20"/>
                <w:szCs w:val="20"/>
              </w:rPr>
              <w:t xml:space="preserve">Regulatorischer Status</w:t>
            </w:r>
          </w:p>
        </w:tc>
        <w:tc>
          <w:tcPr>
            <w:tcW w:type="dxa" w:w="6438"/>
            <w:tcBorders>
              <w:top w:val="none" w:color="FFFFFF" w:sz="0"/>
              <w:left w:val="none" w:color="FFFFFF" w:sz="0"/>
              <w:bottom w:val="none" w:color="FFFFFF" w:sz="0"/>
              <w:right w:val="none" w:color="FFFFFF" w:sz="0"/>
            </w:tcBorders>
            <w:shd w:fill="F0FDF9" w:val="clear"/>
            <w:tcMar>
              <w:top w:type="dxa" w:w="100"/>
              <w:left w:type="dxa" w:w="200"/>
              <w:bottom w:type="dxa" w:w="100"/>
              <w:right w:type="dxa" w:w="200"/>
            </w:tcMar>
          </w:tcPr>
          <w:p>
            <w:r>
              <w:rPr>
                <w:rFonts w:ascii="Arial" w:cs="Arial" w:eastAsia="Arial" w:hAnsi="Arial"/>
                <w:color w:val="1E293B"/>
                <w:sz w:val="20"/>
                <w:szCs w:val="20"/>
              </w:rPr>
              <w:t xml:space="preserve">Kosmetikum gem. Verordnung (EG) 1223/2009, EU-Markt (Pilot: Deutschland)</w:t>
            </w:r>
          </w:p>
        </w:tc>
      </w:tr>
      <w:tr>
        <w:tc>
          <w:tcPr>
            <w:tcW w:type="dxa" w:w="3200"/>
            <w:tcBorders>
              <w:top w:val="none" w:color="FFFFFF" w:sz="0"/>
              <w:left w:val="none" w:color="FFFFFF" w:sz="0"/>
              <w:bottom w:val="none" w:color="FFFFFF" w:sz="0"/>
              <w:right w:val="none" w:color="FFFFFF" w:sz="0"/>
            </w:tcBorders>
            <w:shd w:fill="132F50" w:val="clear"/>
            <w:tcMar>
              <w:top w:type="dxa" w:w="100"/>
              <w:left w:type="dxa" w:w="200"/>
              <w:bottom w:type="dxa" w:w="100"/>
              <w:right w:type="dxa" w:w="200"/>
            </w:tcMar>
          </w:tcPr>
          <w:p>
            <w:r>
              <w:rPr>
                <w:rFonts w:ascii="Arial" w:cs="Arial" w:eastAsia="Arial" w:hAnsi="Arial"/>
                <w:b/>
                <w:bCs/>
                <w:color w:val="FFFFFF"/>
                <w:sz w:val="20"/>
                <w:szCs w:val="20"/>
              </w:rPr>
              <w:t xml:space="preserve">Benchmark-Produkte</w:t>
            </w:r>
          </w:p>
        </w:tc>
        <w:tc>
          <w:tcPr>
            <w:tcW w:type="dxa" w:w="6438"/>
            <w:tcBorders>
              <w:top w:val="none" w:color="FFFFFF" w:sz="0"/>
              <w:left w:val="none" w:color="FFFFFF" w:sz="0"/>
              <w:bottom w:val="none" w:color="FFFFFF" w:sz="0"/>
              <w:right w:val="none" w:color="FFFFFF" w:sz="0"/>
            </w:tcBorders>
            <w:shd w:fill="FFFFFF" w:val="clear"/>
            <w:tcMar>
              <w:top w:type="dxa" w:w="100"/>
              <w:left w:type="dxa" w:w="200"/>
              <w:bottom w:type="dxa" w:w="100"/>
              <w:right w:type="dxa" w:w="200"/>
            </w:tcMar>
          </w:tcPr>
          <w:p>
            <w:r>
              <w:rPr>
                <w:rFonts w:ascii="Arial" w:cs="Arial" w:eastAsia="Arial" w:hAnsi="Arial"/>
                <w:color w:val="1E293B"/>
                <w:sz w:val="20"/>
                <w:szCs w:val="20"/>
              </w:rPr>
              <w:t xml:space="preserve">Medizinisch: Meridol PARO+  |  Premium-Lifestyle: Aesop Toothpaste</w:t>
            </w:r>
          </w:p>
        </w:tc>
      </w:tr>
      <w:tr>
        <w:tc>
          <w:tcPr>
            <w:tcW w:type="dxa" w:w="3200"/>
            <w:tcBorders>
              <w:top w:val="none" w:color="FFFFFF" w:sz="0"/>
              <w:left w:val="none" w:color="FFFFFF" w:sz="0"/>
              <w:bottom w:val="none" w:color="FFFFFF" w:sz="0"/>
              <w:right w:val="none" w:color="FFFFFF" w:sz="0"/>
            </w:tcBorders>
            <w:shd w:fill="0A2540" w:val="clear"/>
            <w:tcMar>
              <w:top w:type="dxa" w:w="100"/>
              <w:left w:type="dxa" w:w="200"/>
              <w:bottom w:type="dxa" w:w="100"/>
              <w:right w:type="dxa" w:w="200"/>
            </w:tcMar>
          </w:tcPr>
          <w:p>
            <w:r>
              <w:rPr>
                <w:rFonts w:ascii="Arial" w:cs="Arial" w:eastAsia="Arial" w:hAnsi="Arial"/>
                <w:b/>
                <w:bCs/>
                <w:color w:val="FFFFFF"/>
                <w:sz w:val="20"/>
                <w:szCs w:val="20"/>
              </w:rPr>
              <w:t xml:space="preserve">Ausgeschlossene Substanzen</w:t>
            </w:r>
          </w:p>
        </w:tc>
        <w:tc>
          <w:tcPr>
            <w:tcW w:type="dxa" w:w="6438"/>
            <w:tcBorders>
              <w:top w:val="none" w:color="FFFFFF" w:sz="0"/>
              <w:left w:val="none" w:color="FFFFFF" w:sz="0"/>
              <w:bottom w:val="none" w:color="FFFFFF" w:sz="0"/>
              <w:right w:val="none" w:color="FFFFFF" w:sz="0"/>
            </w:tcBorders>
            <w:shd w:fill="F0FDF9" w:val="clear"/>
            <w:tcMar>
              <w:top w:type="dxa" w:w="100"/>
              <w:left w:type="dxa" w:w="200"/>
              <w:bottom w:type="dxa" w:w="100"/>
              <w:right w:type="dxa" w:w="200"/>
            </w:tcMar>
          </w:tcPr>
          <w:p>
            <w:r>
              <w:rPr>
                <w:rFonts w:ascii="Arial" w:cs="Arial" w:eastAsia="Arial" w:hAnsi="Arial"/>
                <w:color w:val="1E293B"/>
                <w:sz w:val="20"/>
                <w:szCs w:val="20"/>
              </w:rPr>
              <w:t xml:space="preserve">SLS, Parabene, Triclosan, künstliche Farbstoffe, Titandioxid (TiO2)</w:t>
            </w:r>
          </w:p>
        </w:tc>
      </w:tr>
    </w:tbl>
    <w:p>
      <w:pPr>
        <w:spacing w:after="400"/>
      </w:pPr>
    </w:p>
    <w:p>
      <w:pPr>
        <w:pStyle w:val="Heading1"/>
      </w:pPr>
      <w:r>
        <w:rPr>
          <w:rFonts w:ascii="Arial" w:cs="Arial" w:eastAsia="Arial" w:hAnsi="Arial"/>
        </w:rPr>
        <w:t xml:space="preserve">Wirkstoffe — Evidenzmatrix</w:t>
      </w:r>
    </w:p>
    <w:p>
      <w:pPr>
        <w:pBdr>
          <w:bottom w:val="single" w:color="00C9A7" w:sz="8" w:space="1"/>
        </w:pBd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1.  </w:t>
            </w:r>
            <w:r>
              <w:rPr>
                <w:rFonts w:ascii="Arial" w:cs="Arial" w:eastAsia="Arial" w:hAnsi="Arial"/>
                <w:b/>
                <w:bCs/>
                <w:color w:val="FFFFFF"/>
                <w:sz w:val="26"/>
                <w:szCs w:val="26"/>
              </w:rPr>
              <w:t xml:space="preserve">Zinkzitrat (Zinc Citrate)</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0,3–0,5%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Klinische RCTs belegen Reduktion von Plaqueakkumulation und gingivaler Entzündung bei Zinkzitrat-Dentifrices [1–4].</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Direkter interventioneller Nachweis limitiert; Biofilm-Kontrolle mechanistisch plausibel für periimplantäres Gewebe [5,6].</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Parodontitis ist mit systemischer Inflammation und erhöhter Gesamtsterblichkeit assoziiert — Entzündungsreduktion daher longevity-relevant [7–9].</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Hilft Zahnfleischentzündungen zu reduzieren (gem. kosmetischem Claim-Rahmen); Biofilm-Kontrolle</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Interaktion mit Phosphaten kann Haze verursachen; Zink-Fluorid-Ionenverfügbarkeit bei optionalem Fluorid-SKU validieren.</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2.  </w:t>
            </w:r>
            <w:r>
              <w:rPr>
                <w:rFonts w:ascii="Arial" w:cs="Arial" w:eastAsia="Arial" w:hAnsi="Arial"/>
                <w:b/>
                <w:bCs/>
                <w:color w:val="FFFFFF"/>
                <w:sz w:val="26"/>
                <w:szCs w:val="26"/>
              </w:rPr>
              <w:t xml:space="preserve">Coenzym Q10 (CoQ10)</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Systematische Reviews und RCTs zeigen CoQ10 als Adjuvans zur SRP mit Verbesserung von Sondierungstiefe und Blutungsindizes [12,13].</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Erhöhte oxidative Stressmarker periimplantär dokumentiert; CoQ10 mechanistisch geeignet, direkte Implantat-RCTs fehlen [14,15].</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CoQ10 unterstützt mitochondriales Redox-Gleichgewicht; Reduktion oraler Inflammation trägt indirekt zu gesundem Altern bei [8,16].</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Antioxidativer Schutz im Mundraum; Unterstützung gesunder Gingiva</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Lipophil — erfordert Solubilisierung zur Vermeidung von Ausfällungen.</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3.  </w:t>
            </w:r>
            <w:r>
              <w:rPr>
                <w:rFonts w:ascii="Arial" w:cs="Arial" w:eastAsia="Arial" w:hAnsi="Arial"/>
                <w:b/>
                <w:bCs/>
                <w:color w:val="FFFFFF"/>
                <w:sz w:val="26"/>
                <w:szCs w:val="26"/>
              </w:rPr>
              <w:t xml:space="preserve">Grüntee-Polyphenole (EGCG / Grüntee-Hydrosol)</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Adjunktive klinische Studien zeigen reduzierte Inflammation und pathogene Bakterien (inkl. P. gingivalis) unter EGCG-Applikation [17–19].</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Oxidativer Stress stark impliziert; EGCG bietet antioxidatives und anti-Biofilm-Potenzial [14,15].</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EGCG mit anti-inflammatorischen Signalwegen assoziiert; Stabilität und Bioverfügbarkeit sind limitierende Faktoren [20].</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Antioxidativer Schutz; Unterstützung des oralen Mikrobioms</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Oxidationsanfällig, Verfärbungsrisiko — Sauerstoff-/Lichtschutz und milde Chelation erforderlich.</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4.  </w:t>
            </w:r>
            <w:r>
              <w:rPr>
                <w:rFonts w:ascii="Arial" w:cs="Arial" w:eastAsia="Arial" w:hAnsi="Arial"/>
                <w:b/>
                <w:bCs/>
                <w:color w:val="FFFFFF"/>
                <w:sz w:val="26"/>
                <w:szCs w:val="26"/>
              </w:rPr>
              <w:t xml:space="preserve">Sodium Ascorbyl Phosphat (Vitamin-C-Derivat)</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0,05–0,1%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Klinische Studien und Reviews zeigen heterogene, jedoch positive Effekte auf gingivale Entzündung [21–23].</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Limitierter Direktnachweis; oxidativer Stress periimplantär unterstützt mechanistische Nutzung [14,15].</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Vitamin C trägt zu Kollagenintegrität und Redox-Gleichgewicht bei — indirekt mit Gewebealterung verknüpft [23].</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Antioxidativer Schutz; Unterstützung der Kollagenintegrität im Zahnfleisch</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Mögliche Interaktion mit Zink; pH-abhängige Stabilität beachten.</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5.  </w:t>
            </w:r>
            <w:r>
              <w:rPr>
                <w:rFonts w:ascii="Arial" w:cs="Arial" w:eastAsia="Arial" w:hAnsi="Arial"/>
                <w:b/>
                <w:bCs/>
                <w:color w:val="FFFFFF"/>
                <w:sz w:val="26"/>
                <w:szCs w:val="26"/>
              </w:rPr>
              <w:t xml:space="preserve">Postbiotikum (Lactobacillus Ferment Lysat)</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0,5–1,0%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Klinische und Review-Daten zeigen Postbiotika können Gingivitis reduzieren und Plaque-Mikrobiota modulieren [24–26].</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Evidenz im Aufbau; Mikrobiom-Modulation mechanistisch relevant für periimplantäre Gesundheit [5,6].</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Mikrobiom-Stabilität und reduzierte chronische Inflammation sind longevity-relevante Pfade [16,26].</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Mikrobiom-freundliche Formulierung; Unterstützung des oralen Gleichgewichts</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Effektives Konservierungssystem erforderlich (ISO 11930); ansonsten gut verträglich.</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6.  </w:t>
            </w:r>
            <w:r>
              <w:rPr>
                <w:rFonts w:ascii="Arial" w:cs="Arial" w:eastAsia="Arial" w:hAnsi="Arial"/>
                <w:b/>
                <w:bCs/>
                <w:color w:val="FFFFFF"/>
                <w:sz w:val="26"/>
                <w:szCs w:val="26"/>
              </w:rPr>
              <w:t xml:space="preserve">Xylitol</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3–5%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Stärkste Evidenz für Karies- und Mutans-Streptokokken-Reduktion; Plaque-Effekte moderat [27,28].</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Supportive Rolle via Biofilm-Ökologie; kein direkter therapeutischer Nachweis für Periimplantitis [5,6].</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Indirekt durch Reduktion des oralen Entzündungsrepertoires longevity-relevant [7–9].</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Trägt zur Zahnmineralisierung bei; reduziert das Risiko kariogener Bakterien</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Minimal — im Allgemeinen gut verträglich, keine relevanten Inkompatibilitäten bekannt.</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7.  </w:t>
            </w:r>
            <w:r>
              <w:rPr>
                <w:rFonts w:ascii="Arial" w:cs="Arial" w:eastAsia="Arial" w:hAnsi="Arial"/>
                <w:b/>
                <w:bCs/>
                <w:color w:val="FFFFFF"/>
                <w:sz w:val="26"/>
                <w:szCs w:val="26"/>
              </w:rPr>
              <w:t xml:space="preserve">Aloe vera (Gel-Extrakt)</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nach Supplier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Klinische Studien belegen entzündungshemmende und wundheilungsfördernde Eigenschaften an gingivalen Geweben.</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Beruhigend auf periimplantäre Weichgewebe; unterstützend in der postoperativen Phase.</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Anti-inflammatorische Polysaccharide (Acemannan) modulieren Immunreaktionen — supportiver Longevity-Effekt.</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Beruhigende Wirkung auf Zahnfleisch und Mundschleimhaut</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pH-Abhängigkeit beachten; Konservierung mit Gel-Stabilisierung validieren.</w:t>
            </w:r>
          </w:p>
        </w:tc>
      </w:tr>
    </w:tbl>
    <w:p>
      <w:pPr>
        <w:spacing w:after="320"/>
      </w:pPr>
    </w:p>
    <w:p>
      <w:pPr>
        <w:pStyle w:val="Heading1"/>
      </w:pPr>
      <w:r>
        <w:rPr>
          <w:rFonts w:ascii="Arial" w:cs="Arial" w:eastAsia="Arial" w:hAnsi="Arial"/>
        </w:rPr>
        <w:t xml:space="preserve">Erweiterungsoptionen (in Evaluierung)</w:t>
      </w:r>
    </w:p>
    <w:p>
      <w:pPr>
        <w:pBdr>
          <w:bottom w:val="single" w:color="C8A96E" w:sz="8" w:space="1"/>
        </w:pBd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8.  </w:t>
            </w:r>
            <w:r>
              <w:rPr>
                <w:rFonts w:ascii="Arial" w:cs="Arial" w:eastAsia="Arial" w:hAnsi="Arial"/>
                <w:b/>
                <w:bCs/>
                <w:color w:val="FFFFFF"/>
                <w:sz w:val="26"/>
                <w:szCs w:val="26"/>
              </w:rPr>
              <w:t xml:space="preserve">Cranberry A-Typ-Proanthocyanidine (AC-PACs)</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0,05–0,30% (Std.)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In-vitro- und mechanistische Evidenz: AC-PACs hemmen P. gingivalis-Virulenzfaktoren, Biofilm-Bildung und Adhäsion [Bauder R1, R2].</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Knochenresorptionshemmung und osteogene Effekte in Assays nachgewiesen; narrativer Review Biomedicines 2026 [R2].</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Non-toxisch, antioxidativ, immunmodulatorisch — Potenzial als systemisch-präventiver Wirkstoff in Evaluierung.</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Hilft bei der Reduktion von Plaque-bildenden Bakterien (anti-Adhäsionskonzept)</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Adstringenz, Farbverschiebung bei Lagerung; Interaktion mit Metallionen (Zn, Sn). Mikroverkapselung empfohlen.</w:t>
            </w:r>
          </w:p>
        </w:tc>
      </w:tr>
    </w:tbl>
    <w:p>
      <w:pPr>
        <w:spacing w:after="3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6660"/>
        <w:gridCol w:w="2000"/>
      </w:tblGrid>
      <w:tr>
        <w:tc>
          <w:tcPr>
            <w:tcW w:type="dxa" w:w="700"/>
            <w:tcBorders>
              <w:top w:val="none" w:color="FFFFFF" w:sz="0"/>
              <w:left w:val="none" w:color="FFFFFF" w:sz="0"/>
              <w:bottom w:val="none" w:color="FFFFFF" w:sz="0"/>
              <w:right w:val="none" w:color="FFFFFF" w:sz="0"/>
            </w:tcBorders>
            <w:shd w:fill="0A2540" w:val="clear"/>
            <w:tcMar>
              <w:top w:type="dxa" w:w="100"/>
              <w:left w:type="dxa" w:w="160"/>
              <w:bottom w:type="dxa" w:w="100"/>
              <w:right w:type="dxa" w:w="100"/>
            </w:tcMar>
            <w:vAlign w:val="center"/>
          </w:tcPr>
          <w:p>
            <w:pPr>
              <w:jc w:val="center"/>
            </w:pPr>
            <w:r>
              <w:rPr>
                <w:rFonts w:ascii="Arial" w:cs="Arial" w:eastAsia="Arial" w:hAnsi="Arial"/>
                <w:sz w:val="28"/>
                <w:szCs w:val="28"/>
              </w:rPr>
              <w:t xml:space="preserve">🔬</w:t>
            </w:r>
          </w:p>
        </w:tc>
        <w:tc>
          <w:tcPr>
            <w:tcW w:type="dxa" w:w="6660"/>
            <w:tcBorders>
              <w:top w:val="none" w:color="FFFFFF" w:sz="0"/>
              <w:left w:val="none" w:color="FFFFFF" w:sz="0"/>
              <w:bottom w:val="none" w:color="FFFFFF" w:sz="0"/>
              <w:right w:val="none" w:color="FFFFFF" w:sz="0"/>
            </w:tcBorders>
            <w:shd w:fill="0A2540" w:val="clear"/>
            <w:tcMar>
              <w:top w:type="dxa" w:w="100"/>
              <w:left w:type="dxa" w:w="180"/>
              <w:bottom w:type="dxa" w:w="100"/>
              <w:right w:type="dxa" w:w="100"/>
            </w:tcMar>
            <w:vAlign w:val="center"/>
          </w:tcPr>
          <w:p>
            <w:r>
              <w:rPr>
                <w:rFonts w:ascii="Arial" w:cs="Arial" w:eastAsia="Arial" w:hAnsi="Arial"/>
                <w:b/>
                <w:bCs/>
                <w:color w:val="00C9A7"/>
                <w:sz w:val="26"/>
                <w:szCs w:val="26"/>
              </w:rPr>
              <w:t xml:space="preserve">9.  </w:t>
            </w:r>
            <w:r>
              <w:rPr>
                <w:rFonts w:ascii="Arial" w:cs="Arial" w:eastAsia="Arial" w:hAnsi="Arial"/>
                <w:b/>
                <w:bCs/>
                <w:color w:val="FFFFFF"/>
                <w:sz w:val="26"/>
                <w:szCs w:val="26"/>
              </w:rPr>
              <w:t xml:space="preserve">Stannousfluorid SnF₂ (0,454 % w/w)</w:t>
            </w:r>
          </w:p>
        </w:tc>
        <w:tc>
          <w:tcPr>
            <w:tcW w:type="dxa" w:w="2000"/>
            <w:tcBorders>
              <w:top w:val="none" w:color="FFFFFF" w:sz="0"/>
              <w:left w:val="none" w:color="FFFFFF" w:sz="0"/>
              <w:bottom w:val="none" w:color="FFFFFF" w:sz="0"/>
              <w:right w:val="none" w:color="FFFFFF" w:sz="0"/>
            </w:tcBorders>
            <w:shd w:fill="00C9A7" w:val="clear"/>
            <w:tcMar>
              <w:top w:type="dxa" w:w="80"/>
              <w:left w:type="dxa" w:w="160"/>
              <w:bottom w:type="dxa" w:w="80"/>
              <w:right w:type="dxa" w:w="160"/>
            </w:tcMar>
            <w:vAlign w:val="center"/>
          </w:tcPr>
          <w:p>
            <w:pPr>
              <w:jc w:val="center"/>
            </w:pPr>
            <w:r>
              <w:rPr>
                <w:rFonts w:ascii="Arial" w:cs="Arial" w:eastAsia="Arial" w:hAnsi="Arial"/>
                <w:b/>
                <w:bCs/>
                <w:color w:val="0A2540"/>
                <w:sz w:val="18"/>
                <w:szCs w:val="18"/>
              </w:rPr>
              <w:t xml:space="preserve">Konz.: 0,454% w/w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Parodontitis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SnF₂-Dentifrice (0,454%) zeigte Superiorität vs. Standard-Fluorid-Kontrolle bei Gingivitis und supragingivaler Plaque über 24 Wochen; hoher Anteil Patienten mit &lt;10% Blutungsstellen [BMC Oral Health 2020].</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Periimplantitis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Antimikrobiell relevant; Stannous-Ion aktiv gegen parodontopathogene Biofilme.</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Longevity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Stabile Gingivitis-Kontrolle über 6 Monate — wichtiger Parameter für Inflammaging-Reduktion.</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Claims (EU)</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Hilft bei der Reduzierung von Plaque und Zahnfleischentzündungen (klinisch belegt)</w:t>
            </w:r>
          </w:p>
        </w:tc>
      </w:tr>
      <w:tr>
        <w:tc>
          <w:tcPr>
            <w:tcW w:type="dxa" w:w="2200"/>
            <w:tcBorders>
              <w:top w:val="single" w:color="CCCCCC" w:sz="1"/>
              <w:left w:val="single" w:color="CCCCCC" w:sz="1"/>
              <w:bottom w:val="single" w:color="CCCCCC" w:sz="1"/>
              <w:right w:val="single" w:color="CCCCCC" w:sz="1"/>
            </w:tcBorders>
            <w:shd w:fill="F8FAFC" w:val="clear"/>
            <w:tcMar>
              <w:top w:type="dxa" w:w="80"/>
              <w:left w:type="dxa" w:w="120"/>
              <w:bottom w:type="dxa" w:w="80"/>
              <w:right w:type="dxa" w:w="120"/>
            </w:tcMar>
          </w:tcPr>
          <w:p>
            <w:r>
              <w:rPr>
                <w:rFonts w:ascii="Arial" w:cs="Arial" w:eastAsia="Arial" w:hAnsi="Arial"/>
                <w:b/>
                <w:bCs/>
                <w:color w:val="0A2540"/>
                <w:sz w:val="20"/>
                <w:szCs w:val="20"/>
              </w:rPr>
              <w:t xml:space="preserve">Formulierungsrisiken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E293B"/>
                <w:sz w:val="20"/>
                <w:szCs w:val="20"/>
              </w:rPr>
              <w:t xml:space="preserve">Sn(II)-Oxidation (Verlust zu Sn(IV)); Geschmacksbeeinträchtigung; Kompatibilität mit Polyphenolen (EGCG, PACs) kritisch prüfen. Zwei-SKU-Strategie empfohlen.</w:t>
            </w:r>
          </w:p>
        </w:tc>
      </w:tr>
    </w:tbl>
    <w:p>
      <w:pPr>
        <w:spacing w:after="320"/>
      </w:pPr>
    </w:p>
    <w:p>
      <w:pPr>
        <w:pStyle w:val="Heading1"/>
      </w:pPr>
      <w:r>
        <w:rPr>
          <w:rFonts w:ascii="Arial" w:cs="Arial" w:eastAsia="Arial" w:hAnsi="Arial"/>
        </w:rPr>
        <w:t xml:space="preserve">Literaturverzeichnis</w:t>
      </w:r>
    </w:p>
    <w:p>
      <w:pPr>
        <w:pBdr>
          <w:bottom w:val="single" w:color="00C9A7" w:sz="8" w:space="1"/>
        </w:pBdr>
        <w:spacing w:before="0" w:after="200"/>
      </w:pPr>
    </w:p>
    <w:p>
      <w:pPr>
        <w:spacing w:after="80"/>
        <w:ind w:left="360" w:hanging="360"/>
      </w:pPr>
      <w:r>
        <w:rPr>
          <w:rFonts w:ascii="Arial" w:cs="Arial" w:eastAsia="Arial" w:hAnsi="Arial"/>
          <w:b/>
          <w:bCs/>
          <w:color w:val="00C9A7"/>
          <w:sz w:val="18"/>
          <w:szCs w:val="18"/>
        </w:rPr>
        <w:t xml:space="preserve">[1]  </w:t>
      </w:r>
      <w:r>
        <w:rPr>
          <w:rFonts w:ascii="Arial" w:cs="Arial" w:eastAsia="Arial" w:hAnsi="Arial"/>
          <w:color w:val="1E293B"/>
          <w:sz w:val="18"/>
          <w:szCs w:val="18"/>
        </w:rPr>
        <w:t xml:space="preserve">Arnold A et al. Zinc citrate dentifrice RCT. Scientific Reports 2025. https://www.nature.com/articles/s41598-025-92545-0</w:t>
      </w:r>
    </w:p>
    <w:p>
      <w:pPr>
        <w:spacing w:after="80"/>
        <w:ind w:left="360" w:hanging="360"/>
      </w:pPr>
      <w:r>
        <w:rPr>
          <w:rFonts w:ascii="Arial" w:cs="Arial" w:eastAsia="Arial" w:hAnsi="Arial"/>
          <w:b/>
          <w:bCs/>
          <w:color w:val="00C9A7"/>
          <w:sz w:val="18"/>
          <w:szCs w:val="18"/>
        </w:rPr>
        <w:t xml:space="preserve">[2]  </w:t>
      </w:r>
      <w:r>
        <w:rPr>
          <w:rFonts w:ascii="Arial" w:cs="Arial" w:eastAsia="Arial" w:hAnsi="Arial"/>
          <w:color w:val="1E293B"/>
          <w:sz w:val="18"/>
          <w:szCs w:val="18"/>
        </w:rPr>
        <w:t xml:space="preserve">Josic U et al. Zinc in oral care. Clinical Oral Investigations 2024. https://link.springer.com/article/10.1007/s00784-024-06052-z</w:t>
      </w:r>
    </w:p>
    <w:p>
      <w:pPr>
        <w:spacing w:after="80"/>
        <w:ind w:left="360" w:hanging="360"/>
      </w:pPr>
      <w:r>
        <w:rPr>
          <w:rFonts w:ascii="Arial" w:cs="Arial" w:eastAsia="Arial" w:hAnsi="Arial"/>
          <w:b/>
          <w:bCs/>
          <w:color w:val="00C9A7"/>
          <w:sz w:val="18"/>
          <w:szCs w:val="18"/>
        </w:rPr>
        <w:t xml:space="preserve">[3]  </w:t>
      </w:r>
      <w:r>
        <w:rPr>
          <w:rFonts w:ascii="Arial" w:cs="Arial" w:eastAsia="Arial" w:hAnsi="Arial"/>
          <w:color w:val="1E293B"/>
          <w:sz w:val="18"/>
          <w:szCs w:val="18"/>
        </w:rPr>
        <w:t xml:space="preserve">Soderling E et al. Zinc compounds in dentifrices. Wiley Online Library.</w:t>
      </w:r>
    </w:p>
    <w:p>
      <w:pPr>
        <w:spacing w:after="80"/>
        <w:ind w:left="360" w:hanging="360"/>
      </w:pPr>
      <w:r>
        <w:rPr>
          <w:rFonts w:ascii="Arial" w:cs="Arial" w:eastAsia="Arial" w:hAnsi="Arial"/>
          <w:b/>
          <w:bCs/>
          <w:color w:val="00C9A7"/>
          <w:sz w:val="18"/>
          <w:szCs w:val="18"/>
        </w:rPr>
        <w:t xml:space="preserve">[4]  </w:t>
      </w:r>
      <w:r>
        <w:rPr>
          <w:rFonts w:ascii="Arial" w:cs="Arial" w:eastAsia="Arial" w:hAnsi="Arial"/>
          <w:color w:val="1E293B"/>
          <w:sz w:val="18"/>
          <w:szCs w:val="18"/>
        </w:rPr>
        <w:t xml:space="preserve">MDPI Hygiene 2024. Zinc citrate plaque control. https://www.mdpi.com</w:t>
      </w:r>
    </w:p>
    <w:p>
      <w:pPr>
        <w:spacing w:after="80"/>
        <w:ind w:left="360" w:hanging="360"/>
      </w:pPr>
      <w:r>
        <w:rPr>
          <w:rFonts w:ascii="Arial" w:cs="Arial" w:eastAsia="Arial" w:hAnsi="Arial"/>
          <w:b/>
          <w:bCs/>
          <w:color w:val="00C9A7"/>
          <w:sz w:val="18"/>
          <w:szCs w:val="18"/>
        </w:rPr>
        <w:t xml:space="preserve">[5]  </w:t>
      </w:r>
      <w:r>
        <w:rPr>
          <w:rFonts w:ascii="Arial" w:cs="Arial" w:eastAsia="Arial" w:hAnsi="Arial"/>
          <w:color w:val="1E293B"/>
          <w:sz w:val="18"/>
          <w:szCs w:val="18"/>
        </w:rPr>
        <w:t xml:space="preserve">European Federation of Periodontology. S3-Leitlinie periimplantare Erkrankungen. https://www.efp.org</w:t>
      </w:r>
    </w:p>
    <w:p>
      <w:pPr>
        <w:spacing w:after="80"/>
        <w:ind w:left="360" w:hanging="360"/>
      </w:pPr>
      <w:r>
        <w:rPr>
          <w:rFonts w:ascii="Arial" w:cs="Arial" w:eastAsia="Arial" w:hAnsi="Arial"/>
          <w:b/>
          <w:bCs/>
          <w:color w:val="00C9A7"/>
          <w:sz w:val="18"/>
          <w:szCs w:val="18"/>
        </w:rPr>
        <w:t xml:space="preserve">[6]  </w:t>
      </w:r>
      <w:r>
        <w:rPr>
          <w:rFonts w:ascii="Arial" w:cs="Arial" w:eastAsia="Arial" w:hAnsi="Arial"/>
          <w:color w:val="1E293B"/>
          <w:sz w:val="18"/>
          <w:szCs w:val="18"/>
        </w:rPr>
        <w:t xml:space="preserve">Jepsen S et al. Peri-implant diseases. Journal of Clinical Periodontology.</w:t>
      </w:r>
    </w:p>
    <w:p>
      <w:pPr>
        <w:spacing w:after="80"/>
        <w:ind w:left="360" w:hanging="360"/>
      </w:pPr>
      <w:r>
        <w:rPr>
          <w:rFonts w:ascii="Arial" w:cs="Arial" w:eastAsia="Arial" w:hAnsi="Arial"/>
          <w:b/>
          <w:bCs/>
          <w:color w:val="00C9A7"/>
          <w:sz w:val="18"/>
          <w:szCs w:val="18"/>
        </w:rPr>
        <w:t xml:space="preserve">[7]  </w:t>
      </w:r>
      <w:r>
        <w:rPr>
          <w:rFonts w:ascii="Arial" w:cs="Arial" w:eastAsia="Arial" w:hAnsi="Arial"/>
          <w:color w:val="1E293B"/>
          <w:sz w:val="18"/>
          <w:szCs w:val="18"/>
        </w:rPr>
        <w:t xml:space="preserve">PLOS ONE 2023. Parodontitis und Gesamtmortalitat.</w:t>
      </w:r>
    </w:p>
    <w:p>
      <w:pPr>
        <w:spacing w:after="80"/>
        <w:ind w:left="360" w:hanging="360"/>
      </w:pPr>
      <w:r>
        <w:rPr>
          <w:rFonts w:ascii="Arial" w:cs="Arial" w:eastAsia="Arial" w:hAnsi="Arial"/>
          <w:b/>
          <w:bCs/>
          <w:color w:val="00C9A7"/>
          <w:sz w:val="18"/>
          <w:szCs w:val="18"/>
        </w:rPr>
        <w:t xml:space="preserve">[8]  </w:t>
      </w:r>
      <w:r>
        <w:rPr>
          <w:rFonts w:ascii="Arial" w:cs="Arial" w:eastAsia="Arial" w:hAnsi="Arial"/>
          <w:color w:val="1E293B"/>
          <w:sz w:val="18"/>
          <w:szCs w:val="18"/>
        </w:rPr>
        <w:t xml:space="preserve">Frontiers in Physiology 2021. Parodontale Inflammation und Systemerkrankungen.</w:t>
      </w:r>
    </w:p>
    <w:p>
      <w:pPr>
        <w:spacing w:after="80"/>
        <w:ind w:left="360" w:hanging="360"/>
      </w:pPr>
      <w:r>
        <w:rPr>
          <w:rFonts w:ascii="Arial" w:cs="Arial" w:eastAsia="Arial" w:hAnsi="Arial"/>
          <w:b/>
          <w:bCs/>
          <w:color w:val="00C9A7"/>
          <w:sz w:val="18"/>
          <w:szCs w:val="18"/>
        </w:rPr>
        <w:t xml:space="preserve">[9]  </w:t>
      </w:r>
      <w:r>
        <w:rPr>
          <w:rFonts w:ascii="Arial" w:cs="Arial" w:eastAsia="Arial" w:hAnsi="Arial"/>
          <w:color w:val="1E293B"/>
          <w:sz w:val="18"/>
          <w:szCs w:val="18"/>
        </w:rPr>
        <w:t xml:space="preserve">Clinical Oral Investigations 2025. Orale Gesundheit und Mortalitat.</w:t>
      </w:r>
    </w:p>
    <w:p>
      <w:pPr>
        <w:spacing w:after="80"/>
        <w:ind w:left="360" w:hanging="360"/>
      </w:pPr>
      <w:r>
        <w:rPr>
          <w:rFonts w:ascii="Arial" w:cs="Arial" w:eastAsia="Arial" w:hAnsi="Arial"/>
          <w:b/>
          <w:bCs/>
          <w:color w:val="00C9A7"/>
          <w:sz w:val="18"/>
          <w:szCs w:val="18"/>
        </w:rPr>
        <w:t xml:space="preserve">[12]  </w:t>
      </w:r>
      <w:r>
        <w:rPr>
          <w:rFonts w:ascii="Arial" w:cs="Arial" w:eastAsia="Arial" w:hAnsi="Arial"/>
          <w:color w:val="1E293B"/>
          <w:sz w:val="18"/>
          <w:szCs w:val="18"/>
        </w:rPr>
        <w:t xml:space="preserve">Nutrients 2023. CoQ10 systematischer Review Parodontitis.</w:t>
      </w:r>
    </w:p>
    <w:p>
      <w:pPr>
        <w:spacing w:after="80"/>
        <w:ind w:left="360" w:hanging="360"/>
      </w:pPr>
      <w:r>
        <w:rPr>
          <w:rFonts w:ascii="Arial" w:cs="Arial" w:eastAsia="Arial" w:hAnsi="Arial"/>
          <w:b/>
          <w:bCs/>
          <w:color w:val="00C9A7"/>
          <w:sz w:val="18"/>
          <w:szCs w:val="18"/>
        </w:rPr>
        <w:t xml:space="preserve">[13]  </w:t>
      </w:r>
      <w:r>
        <w:rPr>
          <w:rFonts w:ascii="Arial" w:cs="Arial" w:eastAsia="Arial" w:hAnsi="Arial"/>
          <w:color w:val="1E293B"/>
          <w:sz w:val="18"/>
          <w:szCs w:val="18"/>
        </w:rPr>
        <w:t xml:space="preserve">European Journal of Dentistry 2020. CoQ10 als Adjuvans zur SRP.</w:t>
      </w:r>
    </w:p>
    <w:p>
      <w:pPr>
        <w:spacing w:after="80"/>
        <w:ind w:left="360" w:hanging="360"/>
      </w:pPr>
      <w:r>
        <w:rPr>
          <w:rFonts w:ascii="Arial" w:cs="Arial" w:eastAsia="Arial" w:hAnsi="Arial"/>
          <w:b/>
          <w:bCs/>
          <w:color w:val="00C9A7"/>
          <w:sz w:val="18"/>
          <w:szCs w:val="18"/>
        </w:rPr>
        <w:t xml:space="preserve">[14]  </w:t>
      </w:r>
      <w:r>
        <w:rPr>
          <w:rFonts w:ascii="Arial" w:cs="Arial" w:eastAsia="Arial" w:hAnsi="Arial"/>
          <w:color w:val="1E293B"/>
          <w:sz w:val="18"/>
          <w:szCs w:val="18"/>
        </w:rPr>
        <w:t xml:space="preserve">Journal of Dentistry 2024. Oxidativer Stress peri-implantare Gewebe.</w:t>
      </w:r>
    </w:p>
    <w:p>
      <w:pPr>
        <w:spacing w:after="80"/>
        <w:ind w:left="360" w:hanging="360"/>
      </w:pPr>
      <w:r>
        <w:rPr>
          <w:rFonts w:ascii="Arial" w:cs="Arial" w:eastAsia="Arial" w:hAnsi="Arial"/>
          <w:b/>
          <w:bCs/>
          <w:color w:val="00C9A7"/>
          <w:sz w:val="18"/>
          <w:szCs w:val="18"/>
        </w:rPr>
        <w:t xml:space="preserve">[15]  </w:t>
      </w:r>
      <w:r>
        <w:rPr>
          <w:rFonts w:ascii="Arial" w:cs="Arial" w:eastAsia="Arial" w:hAnsi="Arial"/>
          <w:color w:val="1E293B"/>
          <w:sz w:val="18"/>
          <w:szCs w:val="18"/>
        </w:rPr>
        <w:t xml:space="preserve">BMC Oral Health 2024. Periimplantitis-Biomarker.</w:t>
      </w:r>
    </w:p>
    <w:p>
      <w:pPr>
        <w:spacing w:after="80"/>
        <w:ind w:left="360" w:hanging="360"/>
      </w:pPr>
      <w:r>
        <w:rPr>
          <w:rFonts w:ascii="Arial" w:cs="Arial" w:eastAsia="Arial" w:hAnsi="Arial"/>
          <w:b/>
          <w:bCs/>
          <w:color w:val="00C9A7"/>
          <w:sz w:val="18"/>
          <w:szCs w:val="18"/>
        </w:rPr>
        <w:t xml:space="preserve">[16]  </w:t>
      </w:r>
      <w:r>
        <w:rPr>
          <w:rFonts w:ascii="Arial" w:cs="Arial" w:eastAsia="Arial" w:hAnsi="Arial"/>
          <w:color w:val="1E293B"/>
          <w:sz w:val="18"/>
          <w:szCs w:val="18"/>
        </w:rPr>
        <w:t xml:space="preserve">Cell Biology &amp; Immunology Review 2024. Mikrobiom und gesundes Altern.</w:t>
      </w:r>
    </w:p>
    <w:p>
      <w:pPr>
        <w:spacing w:after="80"/>
        <w:ind w:left="360" w:hanging="360"/>
      </w:pPr>
      <w:r>
        <w:rPr>
          <w:rFonts w:ascii="Arial" w:cs="Arial" w:eastAsia="Arial" w:hAnsi="Arial"/>
          <w:b/>
          <w:bCs/>
          <w:color w:val="00C9A7"/>
          <w:sz w:val="18"/>
          <w:szCs w:val="18"/>
        </w:rPr>
        <w:t xml:space="preserve">[17]  </w:t>
      </w:r>
      <w:r>
        <w:rPr>
          <w:rFonts w:ascii="Arial" w:cs="Arial" w:eastAsia="Arial" w:hAnsi="Arial"/>
          <w:color w:val="1E293B"/>
          <w:sz w:val="18"/>
          <w:szCs w:val="18"/>
        </w:rPr>
        <w:t xml:space="preserve">BMC Oral Health 2021. EGCG als Adjuvans zur SRP.</w:t>
      </w:r>
    </w:p>
    <w:p>
      <w:pPr>
        <w:spacing w:after="80"/>
        <w:ind w:left="360" w:hanging="360"/>
      </w:pPr>
      <w:r>
        <w:rPr>
          <w:rFonts w:ascii="Arial" w:cs="Arial" w:eastAsia="Arial" w:hAnsi="Arial"/>
          <w:b/>
          <w:bCs/>
          <w:color w:val="00C9A7"/>
          <w:sz w:val="18"/>
          <w:szCs w:val="18"/>
        </w:rPr>
        <w:t xml:space="preserve">[18]  </w:t>
      </w:r>
      <w:r>
        <w:rPr>
          <w:rFonts w:ascii="Arial" w:cs="Arial" w:eastAsia="Arial" w:hAnsi="Arial"/>
          <w:color w:val="1E293B"/>
          <w:sz w:val="18"/>
          <w:szCs w:val="18"/>
        </w:rPr>
        <w:t xml:space="preserve">Trials Journal 2022. EGCG Studienprotokoll.</w:t>
      </w:r>
    </w:p>
    <w:p>
      <w:pPr>
        <w:spacing w:after="80"/>
        <w:ind w:left="360" w:hanging="360"/>
      </w:pPr>
      <w:r>
        <w:rPr>
          <w:rFonts w:ascii="Arial" w:cs="Arial" w:eastAsia="Arial" w:hAnsi="Arial"/>
          <w:b/>
          <w:bCs/>
          <w:color w:val="00C9A7"/>
          <w:sz w:val="18"/>
          <w:szCs w:val="18"/>
        </w:rPr>
        <w:t xml:space="preserve">[19]  </w:t>
      </w:r>
      <w:r>
        <w:rPr>
          <w:rFonts w:ascii="Arial" w:cs="Arial" w:eastAsia="Arial" w:hAnsi="Arial"/>
          <w:color w:val="1E293B"/>
          <w:sz w:val="18"/>
          <w:szCs w:val="18"/>
        </w:rPr>
        <w:t xml:space="preserve">Pathogens 2024. EGCG und orale Erkrankungen.</w:t>
      </w:r>
    </w:p>
    <w:p>
      <w:pPr>
        <w:spacing w:after="80"/>
        <w:ind w:left="360" w:hanging="360"/>
      </w:pPr>
      <w:r>
        <w:rPr>
          <w:rFonts w:ascii="Arial" w:cs="Arial" w:eastAsia="Arial" w:hAnsi="Arial"/>
          <w:b/>
          <w:bCs/>
          <w:color w:val="00C9A7"/>
          <w:sz w:val="18"/>
          <w:szCs w:val="18"/>
        </w:rPr>
        <w:t xml:space="preserve">[20]  </w:t>
      </w:r>
      <w:r>
        <w:rPr>
          <w:rFonts w:ascii="Arial" w:cs="Arial" w:eastAsia="Arial" w:hAnsi="Arial"/>
          <w:color w:val="1E293B"/>
          <w:sz w:val="18"/>
          <w:szCs w:val="18"/>
        </w:rPr>
        <w:t xml:space="preserve">Journal of Pharmaceutical and Biomedical Analysis. EGCG Stabilitat.</w:t>
      </w:r>
    </w:p>
    <w:p>
      <w:pPr>
        <w:spacing w:after="80"/>
        <w:ind w:left="360" w:hanging="360"/>
      </w:pPr>
      <w:r>
        <w:rPr>
          <w:rFonts w:ascii="Arial" w:cs="Arial" w:eastAsia="Arial" w:hAnsi="Arial"/>
          <w:b/>
          <w:bCs/>
          <w:color w:val="00C9A7"/>
          <w:sz w:val="18"/>
          <w:szCs w:val="18"/>
        </w:rPr>
        <w:t xml:space="preserve">[21]  </w:t>
      </w:r>
      <w:r>
        <w:rPr>
          <w:rFonts w:ascii="Arial" w:cs="Arial" w:eastAsia="Arial" w:hAnsi="Arial"/>
          <w:color w:val="1E293B"/>
          <w:sz w:val="18"/>
          <w:szCs w:val="18"/>
        </w:rPr>
        <w:t xml:space="preserve">ClinicalTrials.gov NCT02102295. Vitamin C gingivale Inflammation.</w:t>
      </w:r>
    </w:p>
    <w:p>
      <w:pPr>
        <w:spacing w:after="80"/>
        <w:ind w:left="360" w:hanging="360"/>
      </w:pPr>
      <w:r>
        <w:rPr>
          <w:rFonts w:ascii="Arial" w:cs="Arial" w:eastAsia="Arial" w:hAnsi="Arial"/>
          <w:b/>
          <w:bCs/>
          <w:color w:val="00C9A7"/>
          <w:sz w:val="18"/>
          <w:szCs w:val="18"/>
        </w:rPr>
        <w:t xml:space="preserve">[22]  </w:t>
      </w:r>
      <w:r>
        <w:rPr>
          <w:rFonts w:ascii="Arial" w:cs="Arial" w:eastAsia="Arial" w:hAnsi="Arial"/>
          <w:color w:val="1E293B"/>
          <w:sz w:val="18"/>
          <w:szCs w:val="18"/>
        </w:rPr>
        <w:t xml:space="preserve">Systematic Reviews 2020. Vitamin C parodontale Erkrankungen.</w:t>
      </w:r>
    </w:p>
    <w:p>
      <w:pPr>
        <w:spacing w:after="80"/>
        <w:ind w:left="360" w:hanging="360"/>
      </w:pPr>
      <w:r>
        <w:rPr>
          <w:rFonts w:ascii="Arial" w:cs="Arial" w:eastAsia="Arial" w:hAnsi="Arial"/>
          <w:b/>
          <w:bCs/>
          <w:color w:val="00C9A7"/>
          <w:sz w:val="18"/>
          <w:szCs w:val="18"/>
        </w:rPr>
        <w:t xml:space="preserve">[23]  </w:t>
      </w:r>
      <w:r>
        <w:rPr>
          <w:rFonts w:ascii="Arial" w:cs="Arial" w:eastAsia="Arial" w:hAnsi="Arial"/>
          <w:color w:val="1E293B"/>
          <w:sz w:val="18"/>
          <w:szCs w:val="18"/>
        </w:rPr>
        <w:t xml:space="preserve">International Journal of Molecular Sciences 2024. Vitamin C parodontale Gewebe.</w:t>
      </w:r>
    </w:p>
    <w:p>
      <w:pPr>
        <w:spacing w:after="80"/>
        <w:ind w:left="360" w:hanging="360"/>
      </w:pPr>
      <w:r>
        <w:rPr>
          <w:rFonts w:ascii="Arial" w:cs="Arial" w:eastAsia="Arial" w:hAnsi="Arial"/>
          <w:b/>
          <w:bCs/>
          <w:color w:val="00C9A7"/>
          <w:sz w:val="18"/>
          <w:szCs w:val="18"/>
        </w:rPr>
        <w:t xml:space="preserve">[24]  </w:t>
      </w:r>
      <w:r>
        <w:rPr>
          <w:rFonts w:ascii="Arial" w:cs="Arial" w:eastAsia="Arial" w:hAnsi="Arial"/>
          <w:color w:val="1E293B"/>
          <w:sz w:val="18"/>
          <w:szCs w:val="18"/>
        </w:rPr>
        <w:t xml:space="preserve">ScienceDirect 2024. Postbiotische Zahnpasta Gingivitis.</w:t>
      </w:r>
    </w:p>
    <w:p>
      <w:pPr>
        <w:spacing w:after="80"/>
        <w:ind w:left="360" w:hanging="360"/>
      </w:pPr>
      <w:r>
        <w:rPr>
          <w:rFonts w:ascii="Arial" w:cs="Arial" w:eastAsia="Arial" w:hAnsi="Arial"/>
          <w:b/>
          <w:bCs/>
          <w:color w:val="00C9A7"/>
          <w:sz w:val="18"/>
          <w:szCs w:val="18"/>
        </w:rPr>
        <w:t xml:space="preserve">[25]  </w:t>
      </w:r>
      <w:r>
        <w:rPr>
          <w:rFonts w:ascii="Arial" w:cs="Arial" w:eastAsia="Arial" w:hAnsi="Arial"/>
          <w:color w:val="1E293B"/>
          <w:sz w:val="18"/>
          <w:szCs w:val="18"/>
        </w:rPr>
        <w:t xml:space="preserve">Frontiers in Oral Health 2025. Laktobasillus-Zahnpasta Meta-Analyse.</w:t>
      </w:r>
    </w:p>
    <w:p>
      <w:pPr>
        <w:spacing w:after="80"/>
        <w:ind w:left="360" w:hanging="360"/>
      </w:pPr>
      <w:r>
        <w:rPr>
          <w:rFonts w:ascii="Arial" w:cs="Arial" w:eastAsia="Arial" w:hAnsi="Arial"/>
          <w:b/>
          <w:bCs/>
          <w:color w:val="00C9A7"/>
          <w:sz w:val="18"/>
          <w:szCs w:val="18"/>
        </w:rPr>
        <w:t xml:space="preserve">[26]  </w:t>
      </w:r>
      <w:r>
        <w:rPr>
          <w:rFonts w:ascii="Arial" w:cs="Arial" w:eastAsia="Arial" w:hAnsi="Arial"/>
          <w:color w:val="1E293B"/>
          <w:sz w:val="18"/>
          <w:szCs w:val="18"/>
        </w:rPr>
        <w:t xml:space="preserve">MDPI 2025. Postbiotika und orale Gesundheit.</w:t>
      </w:r>
    </w:p>
    <w:p>
      <w:pPr>
        <w:spacing w:after="80"/>
        <w:ind w:left="360" w:hanging="360"/>
      </w:pPr>
      <w:r>
        <w:rPr>
          <w:rFonts w:ascii="Arial" w:cs="Arial" w:eastAsia="Arial" w:hAnsi="Arial"/>
          <w:b/>
          <w:bCs/>
          <w:color w:val="00C9A7"/>
          <w:sz w:val="18"/>
          <w:szCs w:val="18"/>
        </w:rPr>
        <w:t xml:space="preserve">[27]  </w:t>
      </w:r>
      <w:r>
        <w:rPr>
          <w:rFonts w:ascii="Arial" w:cs="Arial" w:eastAsia="Arial" w:hAnsi="Arial"/>
          <w:color w:val="1E293B"/>
          <w:sz w:val="18"/>
          <w:szCs w:val="18"/>
        </w:rPr>
        <w:t xml:space="preserve">BMC Oral Health 2025. Xylitol systematischer Review.</w:t>
      </w:r>
    </w:p>
    <w:p>
      <w:pPr>
        <w:spacing w:after="80"/>
        <w:ind w:left="360" w:hanging="360"/>
      </w:pPr>
      <w:r>
        <w:rPr>
          <w:rFonts w:ascii="Arial" w:cs="Arial" w:eastAsia="Arial" w:hAnsi="Arial"/>
          <w:b/>
          <w:bCs/>
          <w:color w:val="00C9A7"/>
          <w:sz w:val="18"/>
          <w:szCs w:val="18"/>
        </w:rPr>
        <w:t xml:space="preserve">[28]  </w:t>
      </w:r>
      <w:r>
        <w:rPr>
          <w:rFonts w:ascii="Arial" w:cs="Arial" w:eastAsia="Arial" w:hAnsi="Arial"/>
          <w:color w:val="1E293B"/>
          <w:sz w:val="18"/>
          <w:szCs w:val="18"/>
        </w:rPr>
        <w:t xml:space="preserve">Frontiers in Nutrition 2022. Xylitol und Kariespravention.</w:t>
      </w:r>
    </w:p>
    <w:p>
      <w:pPr>
        <w:spacing w:after="80"/>
        <w:ind w:left="360" w:hanging="360"/>
      </w:pPr>
      <w:r>
        <w:rPr>
          <w:rFonts w:ascii="Arial" w:cs="Arial" w:eastAsia="Arial" w:hAnsi="Arial"/>
          <w:b/>
          <w:bCs/>
          <w:color w:val="00C9A7"/>
          <w:sz w:val="18"/>
          <w:szCs w:val="18"/>
        </w:rPr>
        <w:t xml:space="preserve">[R1]  </w:t>
      </w:r>
      <w:r>
        <w:rPr>
          <w:rFonts w:ascii="Arial" w:cs="Arial" w:eastAsia="Arial" w:hAnsi="Arial"/>
          <w:color w:val="1E293B"/>
          <w:sz w:val="18"/>
          <w:szCs w:val="18"/>
        </w:rPr>
        <w:t xml:space="preserve">Yamanaka A et al. Anti-P. gingivalis activity of A-type cranberry proanthocyanidins. Antimicrob Agents Chemother. 2010. https://journals.asm.org/doi/10.1128/aac.01432-09</w:t>
      </w:r>
    </w:p>
    <w:p>
      <w:pPr>
        <w:spacing w:after="80"/>
        <w:ind w:left="360" w:hanging="360"/>
      </w:pPr>
      <w:r>
        <w:rPr>
          <w:rFonts w:ascii="Arial" w:cs="Arial" w:eastAsia="Arial" w:hAnsi="Arial"/>
          <w:b/>
          <w:bCs/>
          <w:color w:val="00C9A7"/>
          <w:sz w:val="18"/>
          <w:szCs w:val="18"/>
        </w:rPr>
        <w:t xml:space="preserve">[R2]  </w:t>
      </w:r>
      <w:r>
        <w:rPr>
          <w:rFonts w:ascii="Arial" w:cs="Arial" w:eastAsia="Arial" w:hAnsi="Arial"/>
          <w:color w:val="1E293B"/>
          <w:sz w:val="18"/>
          <w:szCs w:val="18"/>
        </w:rPr>
        <w:t xml:space="preserve">Schonhofen Manso I et al. Exploring the Benefits of Cranberries in Dentistry: A Comprehensive Review. Biomedicines 2026;14:85. https://doi.org/10.3390/biomedicines14010085</w:t>
      </w:r>
    </w:p>
    <w:p>
      <w:pPr>
        <w:spacing w:after="80"/>
        <w:ind w:left="360" w:hanging="360"/>
      </w:pPr>
      <w:r>
        <w:rPr>
          <w:rFonts w:ascii="Arial" w:cs="Arial" w:eastAsia="Arial" w:hAnsi="Arial"/>
          <w:b/>
          <w:bCs/>
          <w:color w:val="00C9A7"/>
          <w:sz w:val="18"/>
          <w:szCs w:val="18"/>
        </w:rPr>
        <w:t xml:space="preserve">[R3]  </w:t>
      </w:r>
      <w:r>
        <w:rPr>
          <w:rFonts w:ascii="Arial" w:cs="Arial" w:eastAsia="Arial" w:hAnsi="Arial"/>
          <w:color w:val="1E293B"/>
          <w:sz w:val="18"/>
          <w:szCs w:val="18"/>
        </w:rPr>
        <w:t xml:space="preserve">BMC Oral Health 2020. Gingivitis efficacy of 0.454% w/w stannous fluoride dentifrice over 24 weeks. https://link.springer.com/article/10.1186/s12903-020-01079-6</w:t>
      </w:r>
    </w:p>
    <w:p>
      <w:pPr>
        <w:spacing w:after="80"/>
        <w:ind w:left="360" w:hanging="360"/>
      </w:pPr>
      <w:r>
        <w:rPr>
          <w:rFonts w:ascii="Arial" w:cs="Arial" w:eastAsia="Arial" w:hAnsi="Arial"/>
          <w:b/>
          <w:bCs/>
          <w:color w:val="00C9A7"/>
          <w:sz w:val="18"/>
          <w:szCs w:val="18"/>
        </w:rPr>
        <w:t xml:space="preserve">[R4]  </w:t>
      </w:r>
      <w:r>
        <w:rPr>
          <w:rFonts w:ascii="Arial" w:cs="Arial" w:eastAsia="Arial" w:hAnsi="Arial"/>
          <w:color w:val="1E293B"/>
          <w:sz w:val="18"/>
          <w:szCs w:val="18"/>
        </w:rPr>
        <w:t xml:space="preserve">JADA 2019. Solving the problem with stannous fluoride — formulation, stabilization and active Sn(II) retention.</w:t>
      </w:r>
    </w:p>
    <w:p>
      <w:pPr>
        <w:spacing w:after="400"/>
      </w:pPr>
    </w:p>
    <w:p>
      <w:pPr>
        <w:pBdr>
          <w:top w:val="single" w:color="C8A96E" w:sz="6" w:space="4"/>
        </w:pBdr>
        <w:spacing w:before="200" w:after="120"/>
      </w:pPr>
      <w:r>
        <w:rPr>
          <w:rFonts w:ascii="Arial" w:cs="Arial" w:eastAsia="Arial" w:hAnsi="Arial"/>
          <w:b/>
          <w:bCs/>
          <w:color w:val="0A2540"/>
          <w:sz w:val="20"/>
          <w:szCs w:val="20"/>
        </w:rPr>
        <w:t xml:space="preserve">Vertraulichkeitshinweis &amp; Disclaimer</w:t>
      </w:r>
    </w:p>
    <w:p>
      <w:pPr>
        <w:spacing w:before="0" w:after="60"/>
      </w:pPr>
      <w:r>
        <w:rPr>
          <w:rFonts w:ascii="Arial" w:cs="Arial" w:eastAsia="Arial" w:hAnsi="Arial"/>
          <w:color w:val="64748B"/>
          <w:sz w:val="18"/>
          <w:szCs w:val="18"/>
        </w:rPr>
        <w:t xml:space="preserve">Dieses Dokument ist ein internes wissenschaftliches Dossier der International Institute for Oral Longevity i2ol GmbH und dient ausschließlich internen und regulatorischen Zwecken. Die enthaltenen Informationen sind vertraulich und dürfen ohne ausdrückliche schriftliche Genehmigung nicht an Dritte weitergegeben werden. Die Wirkstoffdokumentation basiert auf peer-reviewed Literatur und eigener wissenschaftlicher Analyse; sie stellt keine Heilversprechen dar und ersetzt keine individuelle ärztliche oder zahnarztliche Beratung.</w:t>
      </w:r>
    </w:p>
    <w:p>
      <w:pPr>
        <w:spacing w:before="0" w:after="0"/>
      </w:pPr>
      <w:r>
        <w:rPr>
          <w:rFonts w:ascii="Arial" w:cs="Arial" w:eastAsia="Arial" w:hAnsi="Arial"/>
          <w:color w:val="64748B"/>
          <w:sz w:val="18"/>
          <w:szCs w:val="18"/>
        </w:rPr>
        <w:t xml:space="preserve">Autor: PD Dr. med. Dr. med. dent. Lutz Ritter  ·  International Institute for Oral Longevity i2ol GmbH  ·  Donnerstein 34, 53332 Bornheim  ·  Version 1.0, November 2025</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100"/>
    </w:pPr>
    <w:r>
      <w:rPr>
        <w:rFonts w:ascii="Arial" w:cs="Arial" w:eastAsia="Arial" w:hAnsi="Arial"/>
        <w:color w:val="64748B"/>
        <w:sz w:val="16"/>
        <w:szCs w:val="16"/>
      </w:rPr>
      <w:t xml:space="preserve">International Institute for Oral Longevity i2ol GmbH  ·  Donnerstein 34, 53332 Bornheim  ·  Vertraulich – Nur für interne und regulatorische Zwecke</w:t>
    </w:r>
    <w:r>
      <w:rPr>
        <w:rFonts w:ascii="Arial" w:cs="Arial" w:eastAsia="Arial" w:hAnsi="Arial"/>
        <w:color w:val="64748B"/>
        <w:sz w:val="16"/>
        <w:szCs w:val="16"/>
      </w:rPr>
      <w:t xml:space="preserve">   Seite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0"/>
      <w:gridCol w:w="2638"/>
    </w:tblGrid>
    <w:tr>
      <w:tc>
        <w:tcPr>
          <w:tcW w:type="dxa" w:w="700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b/>
              <w:bCs/>
              <w:color w:val="0A2540"/>
              <w:sz w:val="20"/>
              <w:szCs w:val="20"/>
            </w:rPr>
            <w:t xml:space="preserve">LongeviTeeth</w:t>
          </w:r>
          <w:r>
            <w:rPr>
              <w:rFonts w:ascii="Arial" w:cs="Arial" w:eastAsia="Arial" w:hAnsi="Arial"/>
              <w:color w:val="64748B"/>
              <w:sz w:val="20"/>
              <w:szCs w:val="20"/>
            </w:rPr>
            <w:t xml:space="preserve">  ·  Wissenschaftliche Wirkstoffdokumentation</w:t>
          </w:r>
        </w:p>
      </w:tc>
      <w:tc>
        <w:tcPr>
          <w:tcW w:type="dxa" w:w="2638"/>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64748B"/>
              <w:sz w:val="18"/>
              <w:szCs w:val="18"/>
            </w:rPr>
            <w:t xml:space="preserve">i2ol GmbH  ·  Bornheim 2025</w:t>
          </w:r>
        </w:p>
      </w:tc>
    </w:tr>
  </w:tbl>
  <w:p>
    <w:pPr>
      <w:pBdr>
        <w:bottom w:val="single" w:color="00C9A7" w:sz="6"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0A2540"/>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A25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LongeviTeeth – Wissenschaftliche Wirkstoffdokumentation</dc:title>
  <dc:creator>PD Dr. med. Dr. med. dent. Lutz Ritter</dc:creator>
  <dc:description>O:AGEN Oral Longevity Tooth Gel – Evidenzmatrix und Claim-Dokumentation</dc:description>
  <cp:lastModifiedBy>Un-named</cp:lastModifiedBy>
  <cp:revision>1</cp:revision>
  <dcterms:created xsi:type="dcterms:W3CDTF">2026-03-09T05:20:16.819Z</dcterms:created>
  <dcterms:modified xsi:type="dcterms:W3CDTF">2026-03-09T05:20:16.819Z</dcterms:modified>
</cp:coreProperties>
</file>

<file path=docProps/custom.xml><?xml version="1.0" encoding="utf-8"?>
<Properties xmlns="http://schemas.openxmlformats.org/officeDocument/2006/custom-properties" xmlns:vt="http://schemas.openxmlformats.org/officeDocument/2006/docPropsVTypes"/>
</file>